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4"/>
        <w:gridCol w:w="6242"/>
      </w:tblGrid>
      <w:tr w:rsidR="00091285" w:rsidRPr="00E1388F" w14:paraId="31D6CD34" w14:textId="77777777" w:rsidTr="003578C1">
        <w:trPr>
          <w:trHeight w:val="300"/>
          <w:tblCellSpacing w:w="20" w:type="dxa"/>
        </w:trPr>
        <w:tc>
          <w:tcPr>
            <w:tcW w:w="3054" w:type="dxa"/>
            <w:shd w:val="clear" w:color="auto" w:fill="BFBFBF" w:themeFill="background1" w:themeFillShade="BF"/>
            <w:noWrap/>
            <w:vAlign w:val="center"/>
            <w:hideMark/>
          </w:tcPr>
          <w:p w14:paraId="73C7FAE7" w14:textId="087C0D5F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Nombre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00ED7CBB" w14:textId="517E36C6" w:rsidR="00091285" w:rsidRPr="00AA45DE" w:rsidRDefault="00091285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Fondo de Aportaciones para la Seguridad Pública (FASP)</w:t>
            </w:r>
          </w:p>
        </w:tc>
      </w:tr>
      <w:tr w:rsidR="00091285" w:rsidRPr="00E1388F" w14:paraId="6F6202EB" w14:textId="77777777" w:rsidTr="003578C1">
        <w:trPr>
          <w:trHeight w:val="300"/>
          <w:tblCellSpacing w:w="20" w:type="dxa"/>
        </w:trPr>
        <w:tc>
          <w:tcPr>
            <w:tcW w:w="3054" w:type="dxa"/>
            <w:shd w:val="clear" w:color="auto" w:fill="BFBFBF" w:themeFill="background1" w:themeFillShade="BF"/>
            <w:noWrap/>
            <w:vAlign w:val="center"/>
          </w:tcPr>
          <w:p w14:paraId="238432D7" w14:textId="431A00F3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Dependencia/entidad: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219F17D5" w14:textId="7DB0B16A" w:rsidR="00091285" w:rsidRPr="00AA45DE" w:rsidRDefault="009F20AE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Secretariado Ejecutivo del Sistema Estatal de Seguridad Pública de Sinaloa</w:t>
            </w:r>
          </w:p>
        </w:tc>
      </w:tr>
      <w:tr w:rsidR="00091285" w:rsidRPr="00E1388F" w14:paraId="180EC860" w14:textId="77777777" w:rsidTr="003578C1">
        <w:trPr>
          <w:trHeight w:val="300"/>
          <w:tblCellSpacing w:w="20" w:type="dxa"/>
        </w:trPr>
        <w:tc>
          <w:tcPr>
            <w:tcW w:w="3054" w:type="dxa"/>
            <w:shd w:val="clear" w:color="auto" w:fill="BFBFBF" w:themeFill="background1" w:themeFillShade="BF"/>
            <w:noWrap/>
            <w:vAlign w:val="center"/>
          </w:tcPr>
          <w:p w14:paraId="50DFFD48" w14:textId="5873994E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Unidad responsable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3C049D2E" w14:textId="10E97F68" w:rsidR="00091285" w:rsidRPr="00AA45DE" w:rsidRDefault="00091285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Secretariado Ejecutivo del Sistema Estatal de Seguridad Pública de Sinaloa</w:t>
            </w:r>
          </w:p>
        </w:tc>
      </w:tr>
      <w:tr w:rsidR="00091285" w:rsidRPr="00E1388F" w14:paraId="08D13584" w14:textId="77777777" w:rsidTr="003578C1">
        <w:trPr>
          <w:trHeight w:val="300"/>
          <w:tblCellSpacing w:w="20" w:type="dxa"/>
        </w:trPr>
        <w:tc>
          <w:tcPr>
            <w:tcW w:w="3054" w:type="dxa"/>
            <w:shd w:val="clear" w:color="auto" w:fill="BFBFBF" w:themeFill="background1" w:themeFillShade="BF"/>
            <w:noWrap/>
            <w:vAlign w:val="center"/>
          </w:tcPr>
          <w:p w14:paraId="13DBBB96" w14:textId="0790F9A8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Tipo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6FB834DF" w14:textId="47D24B35" w:rsidR="00091285" w:rsidRPr="00AA45DE" w:rsidRDefault="00091285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Evaluación Específica de Desempeño</w:t>
            </w:r>
          </w:p>
        </w:tc>
      </w:tr>
      <w:tr w:rsidR="00091285" w:rsidRPr="00E1388F" w14:paraId="0AAD0A04" w14:textId="77777777" w:rsidTr="003578C1">
        <w:trPr>
          <w:trHeight w:val="300"/>
          <w:tblCellSpacing w:w="20" w:type="dxa"/>
        </w:trPr>
        <w:tc>
          <w:tcPr>
            <w:tcW w:w="3054" w:type="dxa"/>
            <w:shd w:val="clear" w:color="auto" w:fill="BFBFBF" w:themeFill="background1" w:themeFillShade="BF"/>
            <w:noWrap/>
            <w:vAlign w:val="center"/>
          </w:tcPr>
          <w:p w14:paraId="7B3C4A1F" w14:textId="16F0DC64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Año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52F48C09" w14:textId="2F840EB9" w:rsidR="00091285" w:rsidRPr="00AA45DE" w:rsidRDefault="006B1CB8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2020</w:t>
            </w:r>
          </w:p>
        </w:tc>
      </w:tr>
      <w:tr w:rsidR="00091285" w:rsidRPr="00E1388F" w14:paraId="0F5B205E" w14:textId="77777777" w:rsidTr="003578C1">
        <w:trPr>
          <w:trHeight w:val="300"/>
          <w:tblCellSpacing w:w="20" w:type="dxa"/>
        </w:trPr>
        <w:tc>
          <w:tcPr>
            <w:tcW w:w="9276" w:type="dxa"/>
            <w:gridSpan w:val="2"/>
            <w:shd w:val="clear" w:color="auto" w:fill="861D31"/>
            <w:noWrap/>
            <w:vAlign w:val="center"/>
          </w:tcPr>
          <w:p w14:paraId="5218755C" w14:textId="15263EF0" w:rsidR="00091285" w:rsidRPr="00AA45DE" w:rsidRDefault="00AA45DE" w:rsidP="00AF525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Uso de los hallazgos de la evaluación</w:t>
            </w:r>
          </w:p>
        </w:tc>
      </w:tr>
    </w:tbl>
    <w:p w14:paraId="5E19D156" w14:textId="192CCE1A" w:rsidR="002D63B7" w:rsidRDefault="002D63B7" w:rsidP="00BF068C">
      <w:pPr>
        <w:spacing w:after="0" w:line="240" w:lineRule="auto"/>
      </w:pPr>
    </w:p>
    <w:tbl>
      <w:tblPr>
        <w:tblStyle w:val="Tablaconcuadrcula"/>
        <w:tblpPr w:leftFromText="141" w:rightFromText="141" w:vertAnchor="text" w:tblpX="-10" w:tblpY="1"/>
        <w:tblOverlap w:val="never"/>
        <w:tblW w:w="93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3119"/>
        <w:gridCol w:w="3152"/>
      </w:tblGrid>
      <w:tr w:rsidR="002D63B7" w:rsidRPr="00930172" w14:paraId="74567493" w14:textId="77777777" w:rsidTr="00032A7E">
        <w:trPr>
          <w:tblHeader/>
        </w:trPr>
        <w:tc>
          <w:tcPr>
            <w:tcW w:w="3085" w:type="dxa"/>
            <w:shd w:val="clear" w:color="auto" w:fill="861D31"/>
            <w:vAlign w:val="center"/>
          </w:tcPr>
          <w:p w14:paraId="65A628AE" w14:textId="31CB2E19" w:rsidR="002D63B7" w:rsidRPr="0024769D" w:rsidRDefault="002D63B7" w:rsidP="00032A7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3119" w:type="dxa"/>
            <w:shd w:val="clear" w:color="auto" w:fill="861D31"/>
            <w:vAlign w:val="center"/>
          </w:tcPr>
          <w:p w14:paraId="327389F5" w14:textId="5AB45524" w:rsidR="002D63B7" w:rsidRDefault="002D63B7" w:rsidP="00032A7E">
            <w:pPr>
              <w:spacing w:after="0" w:line="240" w:lineRule="auto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3152" w:type="dxa"/>
            <w:shd w:val="clear" w:color="auto" w:fill="861D31"/>
            <w:vAlign w:val="center"/>
          </w:tcPr>
          <w:p w14:paraId="15804151" w14:textId="53331AAC" w:rsidR="002D63B7" w:rsidRDefault="002D63B7" w:rsidP="00032A7E">
            <w:pPr>
              <w:spacing w:after="0" w:line="240" w:lineRule="auto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D63B7" w:rsidRPr="00930172" w14:paraId="377AEED1" w14:textId="77777777" w:rsidTr="00032A7E">
        <w:trPr>
          <w:trHeight w:val="3515"/>
          <w:tblHeader/>
        </w:trPr>
        <w:tc>
          <w:tcPr>
            <w:tcW w:w="3085" w:type="dxa"/>
          </w:tcPr>
          <w:p w14:paraId="7C804EBD" w14:textId="4BF5943D" w:rsidR="002D63B7" w:rsidRPr="006350DE" w:rsidRDefault="00283AED" w:rsidP="00032A7E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350DE">
              <w:rPr>
                <w:rFonts w:asciiTheme="minorHAnsi" w:hAnsiTheme="minorHAnsi"/>
                <w:sz w:val="21"/>
                <w:szCs w:val="21"/>
              </w:rPr>
              <w:t>Con apego a los ordenamientos legales y reglamentarios vigentes implementar el Servicio Profesional de Carrera Policial (SPCP) mediante la creación de los siguientes instrumentos: Diagnóstico, Comisión Estatal del SPCP, Manuales de Organización y de Procedimientos. Códigos de Conducta y Ética, Sistema informático para el seguimiento administrativo y de la Unidad Administrativa para la operación y seguimiento del SPCP.</w:t>
            </w:r>
          </w:p>
        </w:tc>
        <w:tc>
          <w:tcPr>
            <w:tcW w:w="3119" w:type="dxa"/>
          </w:tcPr>
          <w:p w14:paraId="615995FB" w14:textId="24ED9888" w:rsidR="002D63B7" w:rsidRPr="006350DE" w:rsidRDefault="002D63B7" w:rsidP="00032A7E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 xml:space="preserve">Se </w:t>
            </w:r>
            <w:r w:rsidR="00BF068C" w:rsidRPr="006350DE">
              <w:rPr>
                <w:rFonts w:asciiTheme="minorHAnsi" w:hAnsiTheme="minorHAnsi"/>
                <w:iCs/>
                <w:sz w:val="21"/>
                <w:szCs w:val="21"/>
              </w:rPr>
              <w:t>buscara llevar a cabo los instrumentos necesarios que coadyuven a la mejora en la operación del Servicio Profesional de Carreras.</w:t>
            </w:r>
          </w:p>
        </w:tc>
        <w:tc>
          <w:tcPr>
            <w:tcW w:w="3152" w:type="dxa"/>
          </w:tcPr>
          <w:p w14:paraId="44DB989F" w14:textId="180854F5" w:rsidR="002D63B7" w:rsidRPr="006350DE" w:rsidRDefault="00BF068C" w:rsidP="00032A7E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>A través de diagnósticos e investigaciones, se recaudara la información adecuada para la creación de instrumentos de apoyo.</w:t>
            </w:r>
          </w:p>
        </w:tc>
      </w:tr>
      <w:tr w:rsidR="002D63B7" w:rsidRPr="00930172" w14:paraId="1D8B0085" w14:textId="77777777" w:rsidTr="00032A7E">
        <w:trPr>
          <w:trHeight w:val="2041"/>
          <w:tblHeader/>
        </w:trPr>
        <w:tc>
          <w:tcPr>
            <w:tcW w:w="3085" w:type="dxa"/>
          </w:tcPr>
          <w:p w14:paraId="2D88E3EA" w14:textId="3FF5DD70" w:rsidR="002D63B7" w:rsidRPr="006350DE" w:rsidRDefault="00283AED" w:rsidP="00032A7E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350DE">
              <w:rPr>
                <w:rFonts w:asciiTheme="minorHAnsi" w:hAnsiTheme="minorHAnsi"/>
                <w:sz w:val="21"/>
                <w:szCs w:val="21"/>
              </w:rPr>
              <w:t>Ofrecer capacitación especializada y oportuna con la finalidad de mejorar el índice del Servicio Profesional de Carreras, así como una adecuada difusión entre el personal de las diferentes instituciones de Seguridad Pública.</w:t>
            </w:r>
          </w:p>
        </w:tc>
        <w:tc>
          <w:tcPr>
            <w:tcW w:w="3119" w:type="dxa"/>
          </w:tcPr>
          <w:p w14:paraId="0359BD89" w14:textId="46256109" w:rsidR="002D63B7" w:rsidRPr="006350DE" w:rsidRDefault="00BF068C" w:rsidP="00032A7E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>Se espera alcanzar un mejor nivel en la certificación a Policías Estatales que componen la corporación.</w:t>
            </w:r>
          </w:p>
        </w:tc>
        <w:tc>
          <w:tcPr>
            <w:tcW w:w="3152" w:type="dxa"/>
          </w:tcPr>
          <w:p w14:paraId="49CBE871" w14:textId="16832DD4" w:rsidR="002D63B7" w:rsidRPr="006350DE" w:rsidRDefault="00324212" w:rsidP="00032A7E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>Se buscará mejorar la calidad de los cursos de capacitación a elementos y personal de las instituciones, así como tener una mejor difusión dentro de las redes internas de comunicación.</w:t>
            </w:r>
          </w:p>
        </w:tc>
      </w:tr>
      <w:tr w:rsidR="002D63B7" w:rsidRPr="00930172" w14:paraId="7BE77D41" w14:textId="77777777" w:rsidTr="00032A7E">
        <w:trPr>
          <w:trHeight w:val="1974"/>
          <w:tblHeader/>
        </w:trPr>
        <w:tc>
          <w:tcPr>
            <w:tcW w:w="3085" w:type="dxa"/>
          </w:tcPr>
          <w:p w14:paraId="0B062CDB" w14:textId="22BB1DA2" w:rsidR="002D63B7" w:rsidRPr="006350DE" w:rsidRDefault="00283AED" w:rsidP="00032A7E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350DE">
              <w:rPr>
                <w:rFonts w:asciiTheme="minorHAnsi" w:hAnsiTheme="minorHAnsi"/>
                <w:sz w:val="21"/>
                <w:szCs w:val="21"/>
              </w:rPr>
              <w:lastRenderedPageBreak/>
              <w:t>Llevar a cabo la realización de programas de estudio para cada nivel y tipo de cargo del personal que se vincula con los procesos del nuevo sistema de justicia penal, específicamente a policías de investigación, ministerios públicos, peritos, defensores de oficio, entre otros.</w:t>
            </w:r>
          </w:p>
        </w:tc>
        <w:tc>
          <w:tcPr>
            <w:tcW w:w="3119" w:type="dxa"/>
          </w:tcPr>
          <w:p w14:paraId="06F389BB" w14:textId="06F96273" w:rsidR="002D63B7" w:rsidRPr="006350DE" w:rsidRDefault="00456169" w:rsidP="00032A7E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>Se espera mejorar  el material de estudios con el que  se imparten los cursos o carreras  al personal para su capacitación.</w:t>
            </w:r>
          </w:p>
        </w:tc>
        <w:tc>
          <w:tcPr>
            <w:tcW w:w="3152" w:type="dxa"/>
          </w:tcPr>
          <w:p w14:paraId="47F778F0" w14:textId="73102263" w:rsidR="002D63B7" w:rsidRPr="006350DE" w:rsidRDefault="00456169" w:rsidP="00032A7E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>Con la participación</w:t>
            </w:r>
            <w:r w:rsidR="00324212" w:rsidRPr="006350DE">
              <w:rPr>
                <w:rFonts w:asciiTheme="minorHAnsi" w:hAnsiTheme="minorHAnsi"/>
                <w:iCs/>
                <w:sz w:val="21"/>
                <w:szCs w:val="21"/>
              </w:rPr>
              <w:t xml:space="preserve"> de personal altamente calificado o en convenio con instituciones especializadas dentro de los temas del Nuevo Sistema de Justicia Penal, se buscará crear cursos adecuados a los niveles.</w:t>
            </w:r>
          </w:p>
        </w:tc>
      </w:tr>
    </w:tbl>
    <w:p w14:paraId="6A931518" w14:textId="3C4F40A0" w:rsidR="002D63B7" w:rsidRDefault="002D63B7" w:rsidP="002D63B7">
      <w:pPr>
        <w:spacing w:after="0" w:line="240" w:lineRule="auto"/>
      </w:pPr>
    </w:p>
    <w:tbl>
      <w:tblPr>
        <w:tblStyle w:val="Tablaconcuadrcula"/>
        <w:tblpPr w:leftFromText="141" w:rightFromText="141" w:vertAnchor="text" w:tblpX="-10" w:tblpY="1"/>
        <w:tblOverlap w:val="never"/>
        <w:tblW w:w="93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85"/>
        <w:gridCol w:w="3119"/>
        <w:gridCol w:w="3152"/>
      </w:tblGrid>
      <w:tr w:rsidR="002D63B7" w:rsidRPr="00930172" w14:paraId="486F293D" w14:textId="77777777" w:rsidTr="002D63B7">
        <w:trPr>
          <w:tblHeader/>
        </w:trPr>
        <w:tc>
          <w:tcPr>
            <w:tcW w:w="3085" w:type="dxa"/>
            <w:shd w:val="clear" w:color="auto" w:fill="861D31"/>
            <w:vAlign w:val="center"/>
          </w:tcPr>
          <w:p w14:paraId="7FE4CA1C" w14:textId="38871D5B" w:rsidR="002D63B7" w:rsidRPr="0024769D" w:rsidRDefault="002D63B7" w:rsidP="002D63B7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3119" w:type="dxa"/>
            <w:shd w:val="clear" w:color="auto" w:fill="861D31"/>
            <w:vAlign w:val="center"/>
          </w:tcPr>
          <w:p w14:paraId="072A8B63" w14:textId="327DF39E" w:rsidR="002D63B7" w:rsidRDefault="002D63B7" w:rsidP="002D63B7">
            <w:pPr>
              <w:spacing w:after="0" w:line="240" w:lineRule="auto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3152" w:type="dxa"/>
            <w:shd w:val="clear" w:color="auto" w:fill="861D31"/>
            <w:vAlign w:val="center"/>
          </w:tcPr>
          <w:p w14:paraId="06320825" w14:textId="24F7B9C9" w:rsidR="002D63B7" w:rsidRDefault="002D63B7" w:rsidP="002D63B7">
            <w:pPr>
              <w:spacing w:after="0" w:line="240" w:lineRule="auto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D63B7" w:rsidRPr="00930172" w14:paraId="07E34FB3" w14:textId="77777777" w:rsidTr="00324212">
        <w:trPr>
          <w:trHeight w:val="2285"/>
          <w:tblHeader/>
        </w:trPr>
        <w:tc>
          <w:tcPr>
            <w:tcW w:w="3085" w:type="dxa"/>
          </w:tcPr>
          <w:p w14:paraId="07CEC7EF" w14:textId="529E1CB1" w:rsidR="002D63B7" w:rsidRPr="006350DE" w:rsidRDefault="00283AED" w:rsidP="002D63B7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350DE">
              <w:rPr>
                <w:rFonts w:asciiTheme="minorHAnsi" w:hAnsiTheme="minorHAnsi"/>
                <w:sz w:val="21"/>
                <w:szCs w:val="21"/>
              </w:rPr>
              <w:t>Priorizar acciones con un enfoque estatal/municipal, que permita atender las necesidades de seguridad a nivel municipal, principalmente en la profesionalización de elementos y equipamiento para una mejor atención de delitos de alto impacto.</w:t>
            </w:r>
          </w:p>
        </w:tc>
        <w:tc>
          <w:tcPr>
            <w:tcW w:w="3119" w:type="dxa"/>
          </w:tcPr>
          <w:p w14:paraId="22D8DA04" w14:textId="4286E18A" w:rsidR="002D63B7" w:rsidRPr="006350DE" w:rsidRDefault="002D63B7" w:rsidP="00324212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 xml:space="preserve">Se </w:t>
            </w:r>
            <w:r w:rsidR="00614DBD" w:rsidRPr="006350DE">
              <w:rPr>
                <w:rFonts w:asciiTheme="minorHAnsi" w:hAnsiTheme="minorHAnsi"/>
                <w:iCs/>
                <w:sz w:val="21"/>
                <w:szCs w:val="21"/>
              </w:rPr>
              <w:t>buscará</w:t>
            </w:r>
            <w:r w:rsidR="00032A7E" w:rsidRPr="006350DE">
              <w:rPr>
                <w:rFonts w:asciiTheme="minorHAnsi" w:hAnsiTheme="minorHAnsi"/>
                <w:iCs/>
                <w:sz w:val="21"/>
                <w:szCs w:val="21"/>
              </w:rPr>
              <w:t xml:space="preserve"> realizar un trabajo conjunto con las instituciones municipales, con la finalidad de atender necesidades de primer impacto.</w:t>
            </w:r>
          </w:p>
        </w:tc>
        <w:tc>
          <w:tcPr>
            <w:tcW w:w="3152" w:type="dxa"/>
          </w:tcPr>
          <w:p w14:paraId="74309C26" w14:textId="416EAAAD" w:rsidR="002D63B7" w:rsidRPr="006350DE" w:rsidRDefault="00032A7E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>Se mantendrá una comunicación conjunta con las instituciones de seguridad Municipales con la finalidad de priorizar acciones que impacten en los índices de seguridad estatal.</w:t>
            </w:r>
          </w:p>
        </w:tc>
      </w:tr>
      <w:tr w:rsidR="002D63B7" w:rsidRPr="00930172" w14:paraId="3A23FF4E" w14:textId="77777777" w:rsidTr="00AF5253">
        <w:trPr>
          <w:trHeight w:val="2375"/>
          <w:tblHeader/>
        </w:trPr>
        <w:tc>
          <w:tcPr>
            <w:tcW w:w="3085" w:type="dxa"/>
          </w:tcPr>
          <w:p w14:paraId="19AA5DE2" w14:textId="7C4112C3" w:rsidR="002D63B7" w:rsidRPr="006350DE" w:rsidRDefault="00283AED" w:rsidP="002D63B7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350DE">
              <w:rPr>
                <w:rFonts w:asciiTheme="minorHAnsi" w:hAnsiTheme="minorHAnsi"/>
                <w:sz w:val="21"/>
                <w:szCs w:val="21"/>
              </w:rPr>
              <w:t>Conformar un padrón de sujetos autorizados para el manejo de información de seguridad con fines de planeación, seguimiento, evaluación y auditoría de las acciones referidas en la Ley General del Sistema Nacional de Seguridad Pública, de acuerdo con los sustentos y temporalidades aplicables.</w:t>
            </w:r>
          </w:p>
        </w:tc>
        <w:tc>
          <w:tcPr>
            <w:tcW w:w="3119" w:type="dxa"/>
          </w:tcPr>
          <w:p w14:paraId="37E06D9C" w14:textId="2EBB4B52" w:rsidR="002D63B7" w:rsidRPr="006350DE" w:rsidRDefault="00AF5253" w:rsidP="00032A7E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>Se considera viable para blindar el sistema de malos manejos de la información.</w:t>
            </w:r>
          </w:p>
        </w:tc>
        <w:tc>
          <w:tcPr>
            <w:tcW w:w="3152" w:type="dxa"/>
          </w:tcPr>
          <w:p w14:paraId="37D9D097" w14:textId="4064F9E0" w:rsidR="002D63B7" w:rsidRPr="006350DE" w:rsidRDefault="00AF5253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>Se buscara personal especializado y único para brindarle permisos especiales en el manejo de la información de seguridad.</w:t>
            </w:r>
          </w:p>
        </w:tc>
      </w:tr>
      <w:tr w:rsidR="002D63B7" w:rsidRPr="00032A7E" w14:paraId="602ECDEB" w14:textId="77777777" w:rsidTr="00FF453A">
        <w:trPr>
          <w:trHeight w:val="1543"/>
          <w:tblHeader/>
        </w:trPr>
        <w:tc>
          <w:tcPr>
            <w:tcW w:w="3085" w:type="dxa"/>
          </w:tcPr>
          <w:p w14:paraId="35F91D52" w14:textId="5ED77720" w:rsidR="002D63B7" w:rsidRPr="006350DE" w:rsidRDefault="00283AED" w:rsidP="002D63B7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350DE">
              <w:rPr>
                <w:rFonts w:asciiTheme="minorHAnsi" w:hAnsiTheme="minorHAnsi"/>
                <w:sz w:val="21"/>
                <w:szCs w:val="21"/>
              </w:rPr>
              <w:t>Intensificar la difusión de la cultura de la prevención de la violencia y la delincuencia, la cultura de la legalidad y del respeto a los derechos humanos entre la población.</w:t>
            </w:r>
          </w:p>
        </w:tc>
        <w:tc>
          <w:tcPr>
            <w:tcW w:w="3119" w:type="dxa"/>
          </w:tcPr>
          <w:p w14:paraId="30E6A1EA" w14:textId="6E887ADC" w:rsidR="002D63B7" w:rsidRPr="006350DE" w:rsidRDefault="002D63B7" w:rsidP="00847F32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 xml:space="preserve">Se </w:t>
            </w:r>
            <w:r w:rsidR="00847F32" w:rsidRPr="006350DE">
              <w:rPr>
                <w:rFonts w:asciiTheme="minorHAnsi" w:hAnsiTheme="minorHAnsi"/>
                <w:iCs/>
                <w:sz w:val="21"/>
                <w:szCs w:val="21"/>
              </w:rPr>
              <w:t>buscará llevar a cabo los programas de Prevención Social de la Violencia y la Delincuencia con Participación Ciudadana.</w:t>
            </w:r>
          </w:p>
        </w:tc>
        <w:tc>
          <w:tcPr>
            <w:tcW w:w="3152" w:type="dxa"/>
          </w:tcPr>
          <w:p w14:paraId="1ADE60A8" w14:textId="7C0326B9" w:rsidR="002D63B7" w:rsidRPr="006350DE" w:rsidRDefault="00847F32" w:rsidP="002D63B7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>Se mantendrá la realización de los subprogramas de prevención Social de la violencia ya sea presenciales o en Línea, hasta donde la emergencia de Salud actual lo permita.</w:t>
            </w:r>
          </w:p>
        </w:tc>
      </w:tr>
      <w:tr w:rsidR="002D63B7" w:rsidRPr="00032A7E" w14:paraId="4910A355" w14:textId="77777777" w:rsidTr="002D63B7">
        <w:trPr>
          <w:tblHeader/>
        </w:trPr>
        <w:tc>
          <w:tcPr>
            <w:tcW w:w="3085" w:type="dxa"/>
          </w:tcPr>
          <w:p w14:paraId="06F42A04" w14:textId="37631798" w:rsidR="002D63B7" w:rsidRPr="006350DE" w:rsidRDefault="00283AED" w:rsidP="002D63B7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350DE">
              <w:rPr>
                <w:rFonts w:asciiTheme="minorHAnsi" w:hAnsiTheme="minorHAnsi"/>
                <w:sz w:val="21"/>
                <w:szCs w:val="21"/>
              </w:rPr>
              <w:lastRenderedPageBreak/>
              <w:t>Llevar a cabo evaluaciones de los protocolos para el análisis de cuestiones de coordinación interna y externa</w:t>
            </w:r>
            <w:r w:rsidR="00E6131F" w:rsidRPr="006350DE">
              <w:rPr>
                <w:rFonts w:asciiTheme="minorHAnsi" w:hAnsiTheme="minorHAnsi"/>
                <w:sz w:val="21"/>
                <w:szCs w:val="21"/>
              </w:rPr>
              <w:t xml:space="preserve"> en los centros penitenciarios</w:t>
            </w:r>
            <w:r w:rsidRPr="006350DE">
              <w:rPr>
                <w:rFonts w:asciiTheme="minorHAnsi" w:hAnsiTheme="minorHAnsi"/>
                <w:sz w:val="21"/>
                <w:szCs w:val="21"/>
              </w:rPr>
              <w:t>, así como examinar el rol y los beneficios de contar con funcionarios de inteligencia policial y evaluar la posibilidad de la creación de un Manual de Seguridad Dinámica e Inteligencia Penitenciaria.</w:t>
            </w:r>
          </w:p>
        </w:tc>
        <w:tc>
          <w:tcPr>
            <w:tcW w:w="3119" w:type="dxa"/>
          </w:tcPr>
          <w:p w14:paraId="5FFC86FC" w14:textId="7844C0FC" w:rsidR="002D63B7" w:rsidRPr="006350DE" w:rsidRDefault="00516130" w:rsidP="00A40FF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 xml:space="preserve">Se </w:t>
            </w:r>
            <w:r w:rsidR="00B056CA" w:rsidRPr="006350DE">
              <w:rPr>
                <w:rFonts w:asciiTheme="minorHAnsi" w:hAnsiTheme="minorHAnsi"/>
                <w:iCs/>
                <w:sz w:val="21"/>
                <w:szCs w:val="21"/>
              </w:rPr>
              <w:t>buscar</w:t>
            </w:r>
            <w:r w:rsidR="00E6131F" w:rsidRPr="006350DE">
              <w:rPr>
                <w:rFonts w:asciiTheme="minorHAnsi" w:hAnsiTheme="minorHAnsi"/>
                <w:iCs/>
                <w:sz w:val="21"/>
                <w:szCs w:val="21"/>
              </w:rPr>
              <w:t xml:space="preserve">a, </w:t>
            </w:r>
            <w:r w:rsidR="002E071C" w:rsidRPr="006350DE">
              <w:rPr>
                <w:rFonts w:asciiTheme="minorHAnsi" w:hAnsiTheme="minorHAnsi"/>
                <w:iCs/>
                <w:sz w:val="21"/>
                <w:szCs w:val="21"/>
              </w:rPr>
              <w:t>realizar evaluaciones</w:t>
            </w:r>
            <w:r w:rsidR="00E6131F" w:rsidRPr="006350DE">
              <w:rPr>
                <w:rFonts w:asciiTheme="minorHAnsi" w:hAnsiTheme="minorHAnsi"/>
                <w:iCs/>
                <w:sz w:val="21"/>
                <w:szCs w:val="21"/>
              </w:rPr>
              <w:t xml:space="preserve"> de seguridad</w:t>
            </w:r>
            <w:r w:rsidR="002E071C" w:rsidRPr="006350DE">
              <w:rPr>
                <w:rFonts w:asciiTheme="minorHAnsi" w:hAnsiTheme="minorHAnsi"/>
                <w:iCs/>
                <w:sz w:val="21"/>
                <w:szCs w:val="21"/>
              </w:rPr>
              <w:t xml:space="preserve"> dentro y fuera de </w:t>
            </w:r>
            <w:r w:rsidR="00BB4322" w:rsidRPr="006350DE">
              <w:rPr>
                <w:rFonts w:asciiTheme="minorHAnsi" w:hAnsiTheme="minorHAnsi"/>
                <w:iCs/>
                <w:sz w:val="21"/>
                <w:szCs w:val="21"/>
              </w:rPr>
              <w:t>los centros penitenciarios, así como un diagnóstico de la profesionalización de funcionarios y la creación de un Manual de Seguridad.</w:t>
            </w:r>
          </w:p>
        </w:tc>
        <w:tc>
          <w:tcPr>
            <w:tcW w:w="3152" w:type="dxa"/>
          </w:tcPr>
          <w:p w14:paraId="75D35FD7" w14:textId="61A6DBE1" w:rsidR="00BF5FF6" w:rsidRPr="006350DE" w:rsidRDefault="00BB4322" w:rsidP="002D63D2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 xml:space="preserve">Se pretende evaluar la comunicación y funcionamiento interno y externo de los centros penitenciarios, con la finalidad de realizar tomas de decisiones que mejoren su funcionamiento apegado a la ley. </w:t>
            </w:r>
          </w:p>
        </w:tc>
      </w:tr>
      <w:tr w:rsidR="00283AED" w:rsidRPr="00032A7E" w14:paraId="32F47E47" w14:textId="77777777" w:rsidTr="002D63B7">
        <w:trPr>
          <w:tblHeader/>
        </w:trPr>
        <w:tc>
          <w:tcPr>
            <w:tcW w:w="3085" w:type="dxa"/>
          </w:tcPr>
          <w:p w14:paraId="339E1983" w14:textId="26D3BE8E" w:rsidR="00283AED" w:rsidRPr="006350DE" w:rsidRDefault="00283AED" w:rsidP="002D63B7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bookmarkStart w:id="0" w:name="_GoBack"/>
            <w:bookmarkEnd w:id="0"/>
            <w:r w:rsidRPr="006350DE">
              <w:rPr>
                <w:rFonts w:asciiTheme="minorHAnsi" w:hAnsiTheme="minorHAnsi"/>
                <w:sz w:val="21"/>
                <w:szCs w:val="21"/>
              </w:rPr>
              <w:t>Impulsar a corto plazo un programa de captación de personas que se integren a las filas de las instituciones de Seguridad Pública como elementos policiales y personal de custodia penitenciaria.</w:t>
            </w:r>
          </w:p>
        </w:tc>
        <w:tc>
          <w:tcPr>
            <w:tcW w:w="3119" w:type="dxa"/>
          </w:tcPr>
          <w:p w14:paraId="534575AE" w14:textId="2B61B9DA" w:rsidR="00283AED" w:rsidRPr="006350DE" w:rsidRDefault="00BB4322" w:rsidP="00BB4322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 xml:space="preserve">Se considera rentable, ya que se pueden realizar campañas para que la ciudadanía conozca el sistema profesional de carrera dentro de las </w:t>
            </w:r>
            <w:r w:rsidR="0031558C" w:rsidRPr="006350DE">
              <w:rPr>
                <w:rFonts w:asciiTheme="minorHAnsi" w:hAnsiTheme="minorHAnsi"/>
                <w:iCs/>
                <w:sz w:val="21"/>
                <w:szCs w:val="21"/>
              </w:rPr>
              <w:t>I</w:t>
            </w: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 xml:space="preserve">nstituciones de </w:t>
            </w:r>
            <w:r w:rsidR="0031558C" w:rsidRPr="006350DE">
              <w:rPr>
                <w:rFonts w:asciiTheme="minorHAnsi" w:hAnsiTheme="minorHAnsi"/>
                <w:iCs/>
                <w:sz w:val="21"/>
                <w:szCs w:val="21"/>
              </w:rPr>
              <w:t>Seguridad P</w:t>
            </w: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>ública y se les invite a formar partes de nuestras filas.</w:t>
            </w:r>
          </w:p>
        </w:tc>
        <w:tc>
          <w:tcPr>
            <w:tcW w:w="3152" w:type="dxa"/>
          </w:tcPr>
          <w:p w14:paraId="2AC06BCE" w14:textId="6876AB79" w:rsidR="00283AED" w:rsidRPr="006350DE" w:rsidRDefault="0031558C" w:rsidP="00BF5FF6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6350DE">
              <w:rPr>
                <w:rFonts w:asciiTheme="minorHAnsi" w:hAnsiTheme="minorHAnsi"/>
                <w:iCs/>
                <w:sz w:val="21"/>
                <w:szCs w:val="21"/>
              </w:rPr>
              <w:t xml:space="preserve">Se buscara, realizar </w:t>
            </w:r>
            <w:r w:rsidR="00B83DD4" w:rsidRPr="006350DE">
              <w:rPr>
                <w:rFonts w:asciiTheme="minorHAnsi" w:hAnsiTheme="minorHAnsi"/>
                <w:iCs/>
                <w:sz w:val="21"/>
                <w:szCs w:val="21"/>
              </w:rPr>
              <w:t>campañas de muestras profesiográficas donde se dará a conocer el Servicio Profesional de Carrea de la Secretaría de Seguridad Pública, ya sea por medio Presencial y en Línea con</w:t>
            </w:r>
            <w:r w:rsidR="009A4DA3" w:rsidRPr="006350DE">
              <w:rPr>
                <w:rFonts w:asciiTheme="minorHAnsi" w:hAnsiTheme="minorHAnsi"/>
                <w:iCs/>
                <w:sz w:val="21"/>
                <w:szCs w:val="21"/>
              </w:rPr>
              <w:t xml:space="preserve"> presentación de </w:t>
            </w:r>
            <w:r w:rsidR="00B83DD4" w:rsidRPr="006350DE">
              <w:rPr>
                <w:rFonts w:asciiTheme="minorHAnsi" w:hAnsiTheme="minorHAnsi"/>
                <w:iCs/>
                <w:sz w:val="21"/>
                <w:szCs w:val="21"/>
              </w:rPr>
              <w:t xml:space="preserve"> </w:t>
            </w:r>
            <w:r w:rsidR="009A4DA3" w:rsidRPr="006350DE">
              <w:rPr>
                <w:rFonts w:asciiTheme="minorHAnsi" w:hAnsiTheme="minorHAnsi"/>
                <w:iCs/>
                <w:sz w:val="21"/>
                <w:szCs w:val="21"/>
              </w:rPr>
              <w:t>testimonios de elementos policiales.</w:t>
            </w:r>
          </w:p>
        </w:tc>
      </w:tr>
    </w:tbl>
    <w:p w14:paraId="569B82D7" w14:textId="74A8BBC3" w:rsidR="00FF453A" w:rsidRPr="00032A7E" w:rsidRDefault="00FF453A">
      <w:pPr>
        <w:rPr>
          <w:sz w:val="21"/>
          <w:szCs w:val="21"/>
        </w:rPr>
      </w:pPr>
    </w:p>
    <w:p w14:paraId="083810F8" w14:textId="69EFA793" w:rsidR="00BF068C" w:rsidRDefault="00BF068C"/>
    <w:p w14:paraId="29FC960F" w14:textId="5A158741" w:rsidR="00BF068C" w:rsidRDefault="00BF068C"/>
    <w:p w14:paraId="06F29F3C" w14:textId="24D37360" w:rsidR="00BF068C" w:rsidRDefault="00BF068C"/>
    <w:p w14:paraId="5EFDF4A7" w14:textId="4F9F8F25" w:rsidR="00BF068C" w:rsidRDefault="00BF068C"/>
    <w:p w14:paraId="37436E89" w14:textId="30F44D6B" w:rsidR="00BF068C" w:rsidRDefault="00BF068C"/>
    <w:p w14:paraId="274ADEEF" w14:textId="7E574139" w:rsidR="00BF068C" w:rsidRDefault="00BF068C"/>
    <w:p w14:paraId="746E3611" w14:textId="431D2EE0" w:rsidR="00BF068C" w:rsidRDefault="00BF068C"/>
    <w:p w14:paraId="519C153A" w14:textId="6BE72158" w:rsidR="00BF068C" w:rsidRDefault="00BF068C"/>
    <w:p w14:paraId="1CF70D8E" w14:textId="4CCFB94E" w:rsidR="00BF068C" w:rsidRDefault="00BF068C"/>
    <w:p w14:paraId="5804D26E" w14:textId="4C09B1C8" w:rsidR="00BF068C" w:rsidRDefault="00BF068C"/>
    <w:p w14:paraId="2AF62E1C" w14:textId="77777777" w:rsidR="00BF068C" w:rsidRDefault="00BF068C"/>
    <w:p w14:paraId="663B24CE" w14:textId="2BF9E7F1" w:rsidR="0024769D" w:rsidRDefault="0024769D" w:rsidP="00BF068C">
      <w:pPr>
        <w:spacing w:after="0" w:line="240" w:lineRule="auto"/>
      </w:pPr>
    </w:p>
    <w:p w14:paraId="2D43CE4F" w14:textId="77777777" w:rsidR="00210BAB" w:rsidRDefault="00210BAB" w:rsidP="00BF068C">
      <w:pPr>
        <w:spacing w:after="0" w:line="240" w:lineRule="auto"/>
      </w:pPr>
    </w:p>
    <w:tbl>
      <w:tblPr>
        <w:tblW w:w="935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6"/>
      </w:tblGrid>
      <w:tr w:rsidR="003414E8" w:rsidRPr="00930172" w14:paraId="1DB21BBB" w14:textId="77777777" w:rsidTr="0035745F">
        <w:trPr>
          <w:trHeight w:val="300"/>
          <w:tblCellSpacing w:w="20" w:type="dxa"/>
        </w:trPr>
        <w:tc>
          <w:tcPr>
            <w:tcW w:w="9276" w:type="dxa"/>
            <w:shd w:val="clear" w:color="auto" w:fill="861D31"/>
            <w:noWrap/>
            <w:vAlign w:val="center"/>
          </w:tcPr>
          <w:p w14:paraId="0C0B0456" w14:textId="76F371AC" w:rsidR="003414E8" w:rsidRPr="00930172" w:rsidRDefault="00E12CA5" w:rsidP="00AF525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eastAsia="Times New Roman" w:hAnsiTheme="minorHAnsi"/>
                <w:b/>
                <w:bCs/>
                <w:color w:val="F2F2F2" w:themeColor="background1" w:themeShade="F2"/>
                <w:sz w:val="24"/>
                <w:szCs w:val="24"/>
                <w:lang w:eastAsia="es-MX"/>
              </w:rPr>
            </w:pPr>
            <w:r w:rsidRPr="00930172">
              <w:rPr>
                <w:rFonts w:asciiTheme="minorHAnsi" w:eastAsia="Times New Roman" w:hAnsiTheme="minorHAnsi"/>
                <w:b/>
                <w:bCs/>
                <w:color w:val="F2F2F2" w:themeColor="background1" w:themeShade="F2"/>
                <w:sz w:val="24"/>
                <w:szCs w:val="24"/>
                <w:lang w:eastAsia="es-MX"/>
              </w:rPr>
              <w:lastRenderedPageBreak/>
              <w:t>Posición Institucional respecto de la evaluación</w:t>
            </w:r>
          </w:p>
        </w:tc>
      </w:tr>
    </w:tbl>
    <w:p w14:paraId="1C0BA891" w14:textId="745CD735" w:rsidR="00EC63B6" w:rsidRDefault="00EC63B6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0FEF8DB4" w14:textId="77777777" w:rsidR="00D03957" w:rsidRPr="00D03957" w:rsidRDefault="00D03957" w:rsidP="00AF5253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  <w:r w:rsidRPr="00D03957">
        <w:rPr>
          <w:rFonts w:asciiTheme="minorHAnsi" w:hAnsiTheme="minorHAnsi"/>
          <w:sz w:val="24"/>
          <w:szCs w:val="24"/>
          <w:lang w:val="es-ES"/>
        </w:rPr>
        <w:t>Se cumplió con el objetivo establecido en los “Términos de Referencia para la Evaluación estratégica de diseño y orientación a resultados del Fondo de Aportaciones para la Seguridad Pública de los Estados y del Distrito Federal” (TdR), respecto de analizar y valorar el diseño y la orientación a resultados para la identificación de áreas de mejora y la generación de información que contribuya a su fortalecimiento, consolidación y mejora de su desempeño.</w:t>
      </w:r>
    </w:p>
    <w:p w14:paraId="6D512730" w14:textId="77777777" w:rsidR="00D03957" w:rsidRDefault="00D03957" w:rsidP="00AF5253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  <w:r w:rsidRPr="00D03957">
        <w:rPr>
          <w:rFonts w:asciiTheme="minorHAnsi" w:hAnsiTheme="minorHAnsi"/>
          <w:sz w:val="24"/>
          <w:szCs w:val="24"/>
          <w:lang w:val="es-ES"/>
        </w:rPr>
        <w:t>La evaluación se realizó mediante un ejercicio sistemático de acopio, valoración y análisis de la documentación más relevante sobre el Fondo, con el fin de contar con un diagnóstico sobre la capacidad institucional, organizacional y de gestión.</w:t>
      </w:r>
    </w:p>
    <w:p w14:paraId="5661CC51" w14:textId="77777777" w:rsidR="0024769D" w:rsidRDefault="0024769D" w:rsidP="0024769D">
      <w:pPr>
        <w:spacing w:line="240" w:lineRule="auto"/>
        <w:ind w:left="72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9CD620F" w14:textId="77777777" w:rsidR="002B45DE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3.1 Sobre los resultados de la evaluación</w:t>
      </w:r>
    </w:p>
    <w:p w14:paraId="3399540F" w14:textId="77777777" w:rsidR="00D03957" w:rsidRPr="0024769D" w:rsidRDefault="00D03957" w:rsidP="00AF5253">
      <w:pPr>
        <w:numPr>
          <w:ilvl w:val="0"/>
          <w:numId w:val="5"/>
        </w:numPr>
        <w:spacing w:line="240" w:lineRule="auto"/>
        <w:ind w:right="-141"/>
        <w:jc w:val="both"/>
        <w:rPr>
          <w:rFonts w:asciiTheme="minorHAnsi" w:hAnsiTheme="minorHAnsi"/>
          <w:bCs/>
          <w:sz w:val="24"/>
          <w:szCs w:val="24"/>
          <w:lang w:val="es-ES"/>
        </w:rPr>
      </w:pPr>
      <w:r w:rsidRPr="0024769D">
        <w:rPr>
          <w:rFonts w:asciiTheme="minorHAnsi" w:hAnsiTheme="minorHAnsi"/>
          <w:bCs/>
          <w:sz w:val="24"/>
          <w:szCs w:val="24"/>
          <w:lang w:val="es-ES"/>
        </w:rPr>
        <w:t xml:space="preserve">Con los resultados de esta evaluación, que derivaron del análisis y valoración de la operación del Fondo de Aportaciones para la Seguridad Pública de los Estados y del Distrito Federal (Fondo), se espera contribuir al fortalecimiento, consolidación y mejora de su desempeño, de modo que se permita orientar su gestión a la consecución de resultados de manera eficaz y eficiente. </w:t>
      </w:r>
    </w:p>
    <w:p w14:paraId="67167900" w14:textId="295A6AE7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3.2 Sobre el proceso de la evaluación</w:t>
      </w:r>
    </w:p>
    <w:p w14:paraId="258F8DE7" w14:textId="39085C11" w:rsidR="00D03957" w:rsidRDefault="00D03957" w:rsidP="00AF5253">
      <w:pPr>
        <w:pStyle w:val="Prrafodelista"/>
        <w:numPr>
          <w:ilvl w:val="0"/>
          <w:numId w:val="4"/>
        </w:numPr>
        <w:spacing w:line="240" w:lineRule="auto"/>
        <w:ind w:right="-141"/>
        <w:jc w:val="both"/>
        <w:rPr>
          <w:rFonts w:asciiTheme="minorHAnsi" w:hAnsiTheme="minorHAnsi"/>
          <w:bCs/>
          <w:sz w:val="24"/>
          <w:szCs w:val="24"/>
          <w:lang w:val="es-ES"/>
        </w:rPr>
      </w:pPr>
      <w:r w:rsidRPr="00930172">
        <w:rPr>
          <w:rFonts w:asciiTheme="minorHAnsi" w:hAnsiTheme="minorHAnsi"/>
          <w:bCs/>
          <w:sz w:val="24"/>
          <w:szCs w:val="24"/>
          <w:lang w:val="es-ES"/>
        </w:rPr>
        <w:t>El proceso de evaluación se realizó conforme a lo establecido en el Programa Anual de Evaluac</w:t>
      </w:r>
      <w:r w:rsidR="00210BAB">
        <w:rPr>
          <w:rFonts w:asciiTheme="minorHAnsi" w:hAnsiTheme="minorHAnsi"/>
          <w:bCs/>
          <w:sz w:val="24"/>
          <w:szCs w:val="24"/>
          <w:lang w:val="es-ES"/>
        </w:rPr>
        <w:t>ión para el Ejercicio Fiscal 2020</w:t>
      </w:r>
      <w:r w:rsidRPr="00930172">
        <w:rPr>
          <w:rFonts w:asciiTheme="minorHAnsi" w:hAnsiTheme="minorHAnsi"/>
          <w:bCs/>
          <w:sz w:val="24"/>
          <w:szCs w:val="24"/>
          <w:lang w:val="es-ES"/>
        </w:rPr>
        <w:t xml:space="preserve"> de los Programas Federales de la Administración Pública Federal y de los Fondos de</w:t>
      </w:r>
      <w:r w:rsidR="00210BAB">
        <w:rPr>
          <w:rFonts w:asciiTheme="minorHAnsi" w:hAnsiTheme="minorHAnsi"/>
          <w:bCs/>
          <w:sz w:val="24"/>
          <w:szCs w:val="24"/>
          <w:lang w:val="es-ES"/>
        </w:rPr>
        <w:t xml:space="preserve"> Aportaciones Federales (PAE 2020</w:t>
      </w:r>
      <w:r w:rsidRPr="00930172">
        <w:rPr>
          <w:rFonts w:asciiTheme="minorHAnsi" w:hAnsiTheme="minorHAnsi"/>
          <w:bCs/>
          <w:sz w:val="24"/>
          <w:szCs w:val="24"/>
          <w:lang w:val="es-ES"/>
        </w:rPr>
        <w:t>) y los TdR emitidos para tal efecto, a través de reuniones de seguimiento, oficios, comunicación por medio de correo electrónico, entre otras, que favorecieron la comunicación y coordinación entre el Área de Evaluación (AE) y la Unidad Responsable; quienes en todo momento tuvieron la disposición para atender los requerimientos realizados por el evaluador externo para contar con la información necesaria para el desarrollo de la misma.</w:t>
      </w:r>
    </w:p>
    <w:p w14:paraId="16ABAC47" w14:textId="6264BB17" w:rsidR="003578C1" w:rsidRPr="00930172" w:rsidRDefault="003578C1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3.3 Sobre el desempeño del equipo evaluador</w:t>
      </w:r>
    </w:p>
    <w:p w14:paraId="485DAF69" w14:textId="77777777" w:rsidR="00D03957" w:rsidRPr="00930172" w:rsidRDefault="00D03957" w:rsidP="00AF525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  <w:r w:rsidRPr="00930172">
        <w:rPr>
          <w:rFonts w:asciiTheme="minorHAnsi" w:hAnsiTheme="minorHAnsi"/>
          <w:sz w:val="24"/>
          <w:szCs w:val="24"/>
          <w:lang w:val="es-ES"/>
        </w:rPr>
        <w:t>El evaluador externo muestra objetividad e imparcialidad en el desarrollo de la Evaluación, toda vez que se apegó a lo establecido en los TdR aplicables.</w:t>
      </w:r>
    </w:p>
    <w:sectPr w:rsidR="00D03957" w:rsidRPr="00930172" w:rsidSect="002B45DE">
      <w:headerReference w:type="default" r:id="rId9"/>
      <w:headerReference w:type="first" r:id="rId10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1FB78" w14:textId="77777777" w:rsidR="006753C5" w:rsidRDefault="006753C5" w:rsidP="008E5209">
      <w:pPr>
        <w:spacing w:after="0" w:line="240" w:lineRule="auto"/>
      </w:pPr>
      <w:r>
        <w:separator/>
      </w:r>
    </w:p>
  </w:endnote>
  <w:endnote w:type="continuationSeparator" w:id="0">
    <w:p w14:paraId="6414879B" w14:textId="77777777" w:rsidR="006753C5" w:rsidRDefault="006753C5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CAD95" w14:textId="77777777" w:rsidR="006753C5" w:rsidRDefault="006753C5" w:rsidP="008E5209">
      <w:pPr>
        <w:spacing w:after="0" w:line="240" w:lineRule="auto"/>
      </w:pPr>
      <w:r>
        <w:separator/>
      </w:r>
    </w:p>
  </w:footnote>
  <w:footnote w:type="continuationSeparator" w:id="0">
    <w:p w14:paraId="4C8EB4D1" w14:textId="77777777" w:rsidR="006753C5" w:rsidRDefault="006753C5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DF466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7B2F07" wp14:editId="03C7DB44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555B" w14:textId="77777777" w:rsidR="00DF12BB" w:rsidRDefault="00DF12BB" w:rsidP="00DF12BB"/>
                        <w:p w14:paraId="586A7054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F7B2F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63AF555B" w14:textId="77777777" w:rsidR="00DF12BB" w:rsidRDefault="00DF12BB" w:rsidP="00DF12BB"/>
                  <w:p w14:paraId="586A7054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25336A44" wp14:editId="40806CC6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05ACE4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01C69DBE" w14:textId="77777777" w:rsidR="00DF12BB" w:rsidRDefault="00DF12BB" w:rsidP="00DF12BB">
    <w:pPr>
      <w:pStyle w:val="Encabezado"/>
    </w:pPr>
  </w:p>
  <w:p w14:paraId="3B9E3FB1" w14:textId="77777777" w:rsidR="00DF12BB" w:rsidRDefault="00DF12BB" w:rsidP="00DF12BB">
    <w:pPr>
      <w:pStyle w:val="Encabezado"/>
    </w:pPr>
  </w:p>
  <w:p w14:paraId="52B6C727" w14:textId="4902F72A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11D0D17D" w14:textId="77777777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768D5AF8" w14:textId="0EC356F8" w:rsidR="00213BFA" w:rsidRPr="00DF12BB" w:rsidRDefault="00213BFA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815FB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D9B901" wp14:editId="509B235E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ED590" w14:textId="77777777" w:rsidR="0086126F" w:rsidRDefault="0086126F" w:rsidP="00C759BF"/>
                        <w:p w14:paraId="0183D2FA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9D9B9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4CEED590" w14:textId="77777777" w:rsidR="0086126F" w:rsidRDefault="0086126F" w:rsidP="00C759BF"/>
                  <w:p w14:paraId="0183D2FA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3600" behindDoc="1" locked="0" layoutInCell="1" allowOverlap="1" wp14:anchorId="6AA8BC57" wp14:editId="664E44B9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6FE6CC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74F5E4D1" w14:textId="77777777" w:rsidR="0086126F" w:rsidRDefault="0086126F">
    <w:pPr>
      <w:pStyle w:val="Encabezado"/>
    </w:pPr>
  </w:p>
  <w:p w14:paraId="1858156C" w14:textId="77777777" w:rsidR="0086126F" w:rsidRDefault="0086126F">
    <w:pPr>
      <w:pStyle w:val="Encabezado"/>
    </w:pPr>
  </w:p>
  <w:p w14:paraId="4768E507" w14:textId="0A6CF9D0" w:rsidR="0086126F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638A5505" w14:textId="3032BC96" w:rsidR="00C17101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25798D14" w14:textId="77777777" w:rsidR="00E12CA5" w:rsidRPr="0086126F" w:rsidRDefault="00E12CA5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3340B"/>
    <w:multiLevelType w:val="hybridMultilevel"/>
    <w:tmpl w:val="A5A422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D783F"/>
    <w:multiLevelType w:val="hybridMultilevel"/>
    <w:tmpl w:val="0A4AF5C8"/>
    <w:lvl w:ilvl="0" w:tplc="69EA9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164E3"/>
    <w:multiLevelType w:val="hybridMultilevel"/>
    <w:tmpl w:val="3A66B1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2A7E"/>
    <w:rsid w:val="0003464C"/>
    <w:rsid w:val="00037498"/>
    <w:rsid w:val="00042DCA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95E27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3A0"/>
    <w:rsid w:val="0019373C"/>
    <w:rsid w:val="001A0E6E"/>
    <w:rsid w:val="001B0AC5"/>
    <w:rsid w:val="001C5275"/>
    <w:rsid w:val="001C6638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0BAB"/>
    <w:rsid w:val="00213BFA"/>
    <w:rsid w:val="00214062"/>
    <w:rsid w:val="00222217"/>
    <w:rsid w:val="00230930"/>
    <w:rsid w:val="002312DF"/>
    <w:rsid w:val="00233D0F"/>
    <w:rsid w:val="002356D5"/>
    <w:rsid w:val="0023762C"/>
    <w:rsid w:val="002422A9"/>
    <w:rsid w:val="0024769D"/>
    <w:rsid w:val="00256B08"/>
    <w:rsid w:val="00263C83"/>
    <w:rsid w:val="00264327"/>
    <w:rsid w:val="0026692D"/>
    <w:rsid w:val="002801B9"/>
    <w:rsid w:val="00281DFC"/>
    <w:rsid w:val="00283AED"/>
    <w:rsid w:val="002903FB"/>
    <w:rsid w:val="00296056"/>
    <w:rsid w:val="002A29EE"/>
    <w:rsid w:val="002A318E"/>
    <w:rsid w:val="002B2C96"/>
    <w:rsid w:val="002B45DE"/>
    <w:rsid w:val="002C0D33"/>
    <w:rsid w:val="002D1AFC"/>
    <w:rsid w:val="002D3EA7"/>
    <w:rsid w:val="002D457E"/>
    <w:rsid w:val="002D63B7"/>
    <w:rsid w:val="002D63D2"/>
    <w:rsid w:val="002E071C"/>
    <w:rsid w:val="002E1A84"/>
    <w:rsid w:val="002E2A68"/>
    <w:rsid w:val="002E4405"/>
    <w:rsid w:val="002E6DAC"/>
    <w:rsid w:val="002F378E"/>
    <w:rsid w:val="0031558C"/>
    <w:rsid w:val="00316A9C"/>
    <w:rsid w:val="00316C41"/>
    <w:rsid w:val="00323621"/>
    <w:rsid w:val="00324212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745F"/>
    <w:rsid w:val="003578C1"/>
    <w:rsid w:val="003671EF"/>
    <w:rsid w:val="00375FD1"/>
    <w:rsid w:val="003800F3"/>
    <w:rsid w:val="003867E1"/>
    <w:rsid w:val="003954C6"/>
    <w:rsid w:val="003964B5"/>
    <w:rsid w:val="003A71C0"/>
    <w:rsid w:val="003C3463"/>
    <w:rsid w:val="003C5B02"/>
    <w:rsid w:val="003E326B"/>
    <w:rsid w:val="003E4BAA"/>
    <w:rsid w:val="003E6E57"/>
    <w:rsid w:val="003F09A1"/>
    <w:rsid w:val="003F0AF3"/>
    <w:rsid w:val="003F315D"/>
    <w:rsid w:val="003F5FE3"/>
    <w:rsid w:val="00413C04"/>
    <w:rsid w:val="0041452B"/>
    <w:rsid w:val="00416CC1"/>
    <w:rsid w:val="00425911"/>
    <w:rsid w:val="00431E65"/>
    <w:rsid w:val="004327A3"/>
    <w:rsid w:val="004338DA"/>
    <w:rsid w:val="0044695A"/>
    <w:rsid w:val="00456169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16130"/>
    <w:rsid w:val="00531BE3"/>
    <w:rsid w:val="00531C3D"/>
    <w:rsid w:val="005369D7"/>
    <w:rsid w:val="00550AFC"/>
    <w:rsid w:val="00555F51"/>
    <w:rsid w:val="005565AC"/>
    <w:rsid w:val="00564E3C"/>
    <w:rsid w:val="00572CCF"/>
    <w:rsid w:val="00575727"/>
    <w:rsid w:val="005773F7"/>
    <w:rsid w:val="005826E6"/>
    <w:rsid w:val="005845F6"/>
    <w:rsid w:val="0058734A"/>
    <w:rsid w:val="0059649C"/>
    <w:rsid w:val="005A2AEF"/>
    <w:rsid w:val="005B4A7B"/>
    <w:rsid w:val="005B6573"/>
    <w:rsid w:val="005B6E40"/>
    <w:rsid w:val="005C47E6"/>
    <w:rsid w:val="005E44FA"/>
    <w:rsid w:val="005F33CC"/>
    <w:rsid w:val="005F575E"/>
    <w:rsid w:val="00601986"/>
    <w:rsid w:val="00602B50"/>
    <w:rsid w:val="00603771"/>
    <w:rsid w:val="006123C0"/>
    <w:rsid w:val="00614DBD"/>
    <w:rsid w:val="0062578D"/>
    <w:rsid w:val="00630891"/>
    <w:rsid w:val="006350DE"/>
    <w:rsid w:val="0065144E"/>
    <w:rsid w:val="0065719B"/>
    <w:rsid w:val="00666BE5"/>
    <w:rsid w:val="00671A91"/>
    <w:rsid w:val="006753C5"/>
    <w:rsid w:val="0068293A"/>
    <w:rsid w:val="00690BCC"/>
    <w:rsid w:val="0069467B"/>
    <w:rsid w:val="006A18AF"/>
    <w:rsid w:val="006A3D81"/>
    <w:rsid w:val="006A631C"/>
    <w:rsid w:val="006B1CB8"/>
    <w:rsid w:val="006C0CCC"/>
    <w:rsid w:val="006D4E80"/>
    <w:rsid w:val="006E7E0D"/>
    <w:rsid w:val="006F3A57"/>
    <w:rsid w:val="006F69D9"/>
    <w:rsid w:val="006F7C93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0BC9"/>
    <w:rsid w:val="007513D2"/>
    <w:rsid w:val="007541F8"/>
    <w:rsid w:val="007610AB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82F"/>
    <w:rsid w:val="008405A6"/>
    <w:rsid w:val="00847F32"/>
    <w:rsid w:val="00855D89"/>
    <w:rsid w:val="00857815"/>
    <w:rsid w:val="0085799F"/>
    <w:rsid w:val="00860E2B"/>
    <w:rsid w:val="0086126F"/>
    <w:rsid w:val="008726E2"/>
    <w:rsid w:val="00874C99"/>
    <w:rsid w:val="0088276D"/>
    <w:rsid w:val="00882D04"/>
    <w:rsid w:val="008905B0"/>
    <w:rsid w:val="00890761"/>
    <w:rsid w:val="008A0BCB"/>
    <w:rsid w:val="008A0CB2"/>
    <w:rsid w:val="008C741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30172"/>
    <w:rsid w:val="00934890"/>
    <w:rsid w:val="009352D5"/>
    <w:rsid w:val="00950021"/>
    <w:rsid w:val="0096110F"/>
    <w:rsid w:val="009768FB"/>
    <w:rsid w:val="00983315"/>
    <w:rsid w:val="009A182A"/>
    <w:rsid w:val="009A3BA4"/>
    <w:rsid w:val="009A4DA3"/>
    <w:rsid w:val="009B3B2B"/>
    <w:rsid w:val="009B5E2C"/>
    <w:rsid w:val="009B795A"/>
    <w:rsid w:val="009C2A50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3027C"/>
    <w:rsid w:val="00A30BA4"/>
    <w:rsid w:val="00A342A7"/>
    <w:rsid w:val="00A349AA"/>
    <w:rsid w:val="00A40FFD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A520E"/>
    <w:rsid w:val="00AB3DF6"/>
    <w:rsid w:val="00AB5C90"/>
    <w:rsid w:val="00AC54AF"/>
    <w:rsid w:val="00AC620E"/>
    <w:rsid w:val="00AD0ADD"/>
    <w:rsid w:val="00AE0BD1"/>
    <w:rsid w:val="00AE4E69"/>
    <w:rsid w:val="00AE5C01"/>
    <w:rsid w:val="00AF5253"/>
    <w:rsid w:val="00B056CA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614DF"/>
    <w:rsid w:val="00B71DBF"/>
    <w:rsid w:val="00B83DD4"/>
    <w:rsid w:val="00BA1B67"/>
    <w:rsid w:val="00BA222E"/>
    <w:rsid w:val="00BA4A59"/>
    <w:rsid w:val="00BA5D2B"/>
    <w:rsid w:val="00BB05A3"/>
    <w:rsid w:val="00BB0885"/>
    <w:rsid w:val="00BB130C"/>
    <w:rsid w:val="00BB4322"/>
    <w:rsid w:val="00BC2055"/>
    <w:rsid w:val="00BC2B7A"/>
    <w:rsid w:val="00BC5E9C"/>
    <w:rsid w:val="00BD577F"/>
    <w:rsid w:val="00BE1BAD"/>
    <w:rsid w:val="00BE4329"/>
    <w:rsid w:val="00BE7166"/>
    <w:rsid w:val="00BF068C"/>
    <w:rsid w:val="00BF1C9C"/>
    <w:rsid w:val="00BF1D88"/>
    <w:rsid w:val="00BF1F13"/>
    <w:rsid w:val="00BF25EA"/>
    <w:rsid w:val="00BF5FF6"/>
    <w:rsid w:val="00BF698D"/>
    <w:rsid w:val="00C04B92"/>
    <w:rsid w:val="00C10020"/>
    <w:rsid w:val="00C103A7"/>
    <w:rsid w:val="00C17070"/>
    <w:rsid w:val="00C17101"/>
    <w:rsid w:val="00C2107C"/>
    <w:rsid w:val="00C30726"/>
    <w:rsid w:val="00C4579A"/>
    <w:rsid w:val="00C54827"/>
    <w:rsid w:val="00C549F2"/>
    <w:rsid w:val="00C66011"/>
    <w:rsid w:val="00C66B84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3957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54A9B"/>
    <w:rsid w:val="00D557F6"/>
    <w:rsid w:val="00D617BA"/>
    <w:rsid w:val="00D63AE8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084E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37745"/>
    <w:rsid w:val="00E474E8"/>
    <w:rsid w:val="00E4783D"/>
    <w:rsid w:val="00E529A2"/>
    <w:rsid w:val="00E55352"/>
    <w:rsid w:val="00E6131F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2843"/>
    <w:rsid w:val="00EE0924"/>
    <w:rsid w:val="00EE32E3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1DCE"/>
    <w:rsid w:val="00F8367D"/>
    <w:rsid w:val="00F963E2"/>
    <w:rsid w:val="00FA1BB9"/>
    <w:rsid w:val="00FA7D41"/>
    <w:rsid w:val="00FB0820"/>
    <w:rsid w:val="00FB1BFB"/>
    <w:rsid w:val="00FB1F72"/>
    <w:rsid w:val="00FB204C"/>
    <w:rsid w:val="00FB4127"/>
    <w:rsid w:val="00FC30E6"/>
    <w:rsid w:val="00FD5B23"/>
    <w:rsid w:val="00FE44F0"/>
    <w:rsid w:val="00FF4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96BD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957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957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6919-8135-4766-89F1-C94D8398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4</Pages>
  <Words>1146</Words>
  <Characters>6308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CLSinaloa</cp:lastModifiedBy>
  <cp:revision>23</cp:revision>
  <cp:lastPrinted>2021-10-28T20:14:00Z</cp:lastPrinted>
  <dcterms:created xsi:type="dcterms:W3CDTF">2020-05-27T20:10:00Z</dcterms:created>
  <dcterms:modified xsi:type="dcterms:W3CDTF">2021-10-28T20:14:00Z</dcterms:modified>
</cp:coreProperties>
</file>